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E68E" w14:textId="07960389" w:rsidR="00411723" w:rsidRDefault="00411723" w:rsidP="00D13F9C">
      <w:pPr>
        <w:spacing w:after="120" w:line="240" w:lineRule="auto"/>
        <w:rPr>
          <w:rFonts w:ascii="Calibri" w:eastAsia="Times New Roman" w:hAnsi="Calibri" w:cs="Times New Roman (Koppen CS)"/>
          <w:b/>
          <w:color w:val="66C1BF"/>
          <w:kern w:val="0"/>
          <w:sz w:val="44"/>
          <w:szCs w:val="32"/>
          <w:lang w:val="en-GB"/>
          <w14:ligatures w14:val="none"/>
        </w:rPr>
      </w:pPr>
      <w:r w:rsidRPr="00411723">
        <w:rPr>
          <w:rFonts w:ascii="Calibri" w:eastAsia="Times New Roman" w:hAnsi="Calibri" w:cs="Times New Roman (Koppen CS)"/>
          <w:b/>
          <w:color w:val="66C1BF"/>
          <w:kern w:val="0"/>
          <w:sz w:val="44"/>
          <w:szCs w:val="32"/>
          <w:lang w:val="en-GB"/>
          <w14:ligatures w14:val="none"/>
        </w:rPr>
        <w:t>Evaluation and impact areas covered by EU-CEM Handbook, version 1.0</w:t>
      </w:r>
    </w:p>
    <w:p w14:paraId="3B1280D1" w14:textId="4B4A2EBD" w:rsidR="00411723" w:rsidRPr="007B6215" w:rsidRDefault="00411723" w:rsidP="00C93F49">
      <w:pPr>
        <w:rPr>
          <w:rFonts w:ascii="Calibri" w:hAnsi="Calibri" w:cs="Calibri"/>
          <w:lang w:val="en-GB"/>
        </w:rPr>
      </w:pPr>
      <w:r w:rsidRPr="00772E8A">
        <w:rPr>
          <w:rFonts w:ascii="Calibri" w:hAnsi="Calibri" w:cs="Calibri"/>
          <w:lang w:val="en-GB"/>
        </w:rPr>
        <w:t xml:space="preserve">in line with </w:t>
      </w:r>
      <w:r w:rsidR="00CB284C" w:rsidRPr="00772E8A">
        <w:rPr>
          <w:rFonts w:ascii="Calibri" w:hAnsi="Calibri" w:cs="Calibri"/>
          <w:lang w:val="en-GB"/>
        </w:rPr>
        <w:t>the EU-CEM Handbook, version 1.0</w:t>
      </w:r>
      <w:r w:rsidR="007B6215">
        <w:rPr>
          <w:rFonts w:ascii="Calibri" w:hAnsi="Calibri" w:cs="Calibri"/>
          <w:lang w:val="en-GB"/>
        </w:rPr>
        <w:t xml:space="preserve"> (</w:t>
      </w:r>
      <w:r w:rsidR="00C93F49">
        <w:rPr>
          <w:rFonts w:ascii="Calibri" w:hAnsi="Calibri" w:cs="Calibri"/>
          <w:lang w:val="en-GB"/>
        </w:rPr>
        <w:t>20-4-2026</w:t>
      </w:r>
      <w:r w:rsidR="007B6215">
        <w:rPr>
          <w:lang w:val="en-GB"/>
        </w:rPr>
        <w:t>)</w:t>
      </w:r>
    </w:p>
    <w:p w14:paraId="2B121357" w14:textId="77777777" w:rsidR="00D13F9C" w:rsidRDefault="00C61BD8" w:rsidP="00D13F9C">
      <w:pPr>
        <w:pStyle w:val="Table-Label"/>
        <w:rPr>
          <w:rFonts w:eastAsia="Arial"/>
        </w:rPr>
      </w:pPr>
      <w:bookmarkStart w:id="0" w:name="_Toc227151412"/>
      <w:r w:rsidRPr="00FE486D">
        <w:rPr>
          <w:rFonts w:eastAsia="Arial"/>
        </w:rPr>
        <w:t xml:space="preserve">Table </w:t>
      </w:r>
      <w:r w:rsidRPr="00FE486D">
        <w:rPr>
          <w:rFonts w:eastAsia="Arial"/>
        </w:rPr>
        <w:fldChar w:fldCharType="begin"/>
      </w:r>
      <w:r w:rsidRPr="00FE486D">
        <w:rPr>
          <w:rFonts w:eastAsia="Arial"/>
        </w:rPr>
        <w:instrText xml:space="preserve"> SEQ Table \* ARABIC </w:instrText>
      </w:r>
      <w:r w:rsidRPr="00FE486D">
        <w:rPr>
          <w:rFonts w:eastAsia="Arial"/>
        </w:rPr>
        <w:fldChar w:fldCharType="separate"/>
      </w:r>
      <w:r w:rsidRPr="00FE486D">
        <w:rPr>
          <w:rFonts w:eastAsia="Arial"/>
          <w:noProof/>
        </w:rPr>
        <w:t>1</w:t>
      </w:r>
      <w:r w:rsidRPr="00FE486D">
        <w:rPr>
          <w:rFonts w:eastAsia="Arial"/>
        </w:rPr>
        <w:fldChar w:fldCharType="end"/>
      </w:r>
      <w:r w:rsidRPr="00FE486D">
        <w:rPr>
          <w:rFonts w:eastAsia="Arial"/>
        </w:rPr>
        <w:t xml:space="preserve"> — Overview of </w:t>
      </w:r>
      <w:bookmarkEnd w:id="0"/>
      <w:r w:rsidRPr="00FE486D">
        <w:rPr>
          <w:rFonts w:eastAsia="Arial"/>
        </w:rPr>
        <w:t>levels, area and scope of evaluation</w:t>
      </w:r>
      <w:r w:rsidR="00D13F9C">
        <w:rPr>
          <w:rFonts w:eastAsia="Arial"/>
        </w:rPr>
        <w:t xml:space="preserve"> 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187"/>
        <w:gridCol w:w="1927"/>
        <w:gridCol w:w="6514"/>
      </w:tblGrid>
      <w:tr w:rsidR="005D59D9" w:rsidRPr="007B6215" w14:paraId="636E2BE7" w14:textId="77777777" w:rsidTr="00D13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right w:val="single" w:sz="4" w:space="0" w:color="FFFFFF" w:themeColor="background1"/>
            </w:tcBorders>
            <w:hideMark/>
          </w:tcPr>
          <w:p w14:paraId="746CFA09" w14:textId="444921AA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 xml:space="preserve">Level </w:t>
            </w:r>
            <w:r w:rsidR="0DE4DE62" w:rsidRPr="007B6215">
              <w:rPr>
                <w:rFonts w:ascii="Calibri" w:hAnsi="Calibri" w:cs="Calibri"/>
                <w:sz w:val="21"/>
                <w:szCs w:val="21"/>
              </w:rPr>
              <w:t>of</w:t>
            </w:r>
            <w:r w:rsidRPr="007B6215">
              <w:rPr>
                <w:rFonts w:ascii="Calibri" w:hAnsi="Calibri" w:cs="Calibri"/>
                <w:sz w:val="21"/>
                <w:szCs w:val="21"/>
              </w:rPr>
              <w:t xml:space="preserve"> evaluation</w:t>
            </w:r>
          </w:p>
        </w:tc>
        <w:tc>
          <w:tcPr>
            <w:tcW w:w="19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3C128A1" w14:textId="77777777" w:rsidR="005D59D9" w:rsidRPr="007B6215" w:rsidRDefault="005D59D9" w:rsidP="00D5527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Area</w:t>
            </w:r>
          </w:p>
        </w:tc>
        <w:tc>
          <w:tcPr>
            <w:tcW w:w="6514" w:type="dxa"/>
            <w:tcBorders>
              <w:left w:val="single" w:sz="4" w:space="0" w:color="FFFFFF" w:themeColor="background1"/>
            </w:tcBorders>
            <w:hideMark/>
          </w:tcPr>
          <w:p w14:paraId="7440579E" w14:textId="77777777" w:rsidR="005D59D9" w:rsidRPr="007B6215" w:rsidRDefault="005D59D9" w:rsidP="00D5527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Scope</w:t>
            </w:r>
          </w:p>
        </w:tc>
      </w:tr>
      <w:tr w:rsidR="005D59D9" w:rsidRPr="007B6215" w14:paraId="1231541A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 w:val="restart"/>
            <w:hideMark/>
          </w:tcPr>
          <w:p w14:paraId="14971F27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Vehicle</w:t>
            </w:r>
          </w:p>
        </w:tc>
        <w:tc>
          <w:tcPr>
            <w:tcW w:w="1927" w:type="dxa"/>
            <w:hideMark/>
          </w:tcPr>
          <w:p w14:paraId="0492D3AB" w14:textId="77777777" w:rsidR="005D59D9" w:rsidRPr="007B6215" w:rsidRDefault="005D59D9" w:rsidP="00D5527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Technical functioning</w:t>
            </w:r>
          </w:p>
        </w:tc>
        <w:tc>
          <w:tcPr>
            <w:tcW w:w="6514" w:type="dxa"/>
            <w:hideMark/>
          </w:tcPr>
          <w:p w14:paraId="0FCEF8F4" w14:textId="77777777" w:rsidR="005D59D9" w:rsidRPr="007B6215" w:rsidRDefault="005D59D9" w:rsidP="00D552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Style w:val="legacy-color-text-blue3"/>
                <w:rFonts w:ascii="Calibri" w:eastAsia="Times New Roman" w:hAnsi="Calibri" w:cs="Calibri"/>
                <w:sz w:val="21"/>
                <w:szCs w:val="21"/>
                <w:lang w:val="en-GB"/>
              </w:rPr>
              <w:t xml:space="preserve">Software and hardware </w:t>
            </w:r>
            <w:r w:rsidRPr="007B6215">
              <w:rPr>
                <w:rStyle w:val="legacy-color-text-blue3"/>
                <w:rFonts w:ascii="Calibri" w:hAnsi="Calibri" w:cs="Calibri"/>
                <w:sz w:val="21"/>
                <w:szCs w:val="21"/>
                <w:lang w:val="en-GB"/>
              </w:rPr>
              <w:t xml:space="preserve">functionalities of </w:t>
            </w:r>
            <w:r w:rsidRPr="007B6215">
              <w:rPr>
                <w:rStyle w:val="legacy-color-text-blue3"/>
                <w:rFonts w:ascii="Calibri" w:eastAsia="Times New Roman" w:hAnsi="Calibri" w:cs="Calibri"/>
                <w:sz w:val="21"/>
                <w:szCs w:val="21"/>
                <w:lang w:val="en-GB"/>
              </w:rPr>
              <w:t>CCAM systems, especially in terms of performance, cyber-security, and reliability.</w:t>
            </w:r>
          </w:p>
        </w:tc>
      </w:tr>
      <w:tr w:rsidR="005D59D9" w:rsidRPr="007B6215" w14:paraId="743690B4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  <w:hideMark/>
          </w:tcPr>
          <w:p w14:paraId="09742A69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  <w:hideMark/>
          </w:tcPr>
          <w:p w14:paraId="488BC421" w14:textId="77777777" w:rsidR="005D59D9" w:rsidRPr="007B6215" w:rsidRDefault="005D59D9" w:rsidP="00D55274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Driving behaviour</w:t>
            </w:r>
          </w:p>
        </w:tc>
        <w:tc>
          <w:tcPr>
            <w:tcW w:w="6514" w:type="dxa"/>
            <w:hideMark/>
          </w:tcPr>
          <w:p w14:paraId="34EFF27E" w14:textId="77777777" w:rsidR="005D59D9" w:rsidRPr="007B6215" w:rsidRDefault="005D59D9" w:rsidP="00D552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sz w:val="21"/>
                <w:szCs w:val="21"/>
                <w:lang w:val="en-GB"/>
              </w:rPr>
              <w:t>Driving dynamics of a single vehicle, its longitudinal and lateral movements, and interactions with the environment and other road users.</w:t>
            </w:r>
          </w:p>
        </w:tc>
      </w:tr>
      <w:tr w:rsidR="005D59D9" w:rsidRPr="007B6215" w14:paraId="6CB240AF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 w:val="restart"/>
            <w:hideMark/>
          </w:tcPr>
          <w:p w14:paraId="6C5A4DC9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Human</w:t>
            </w:r>
          </w:p>
        </w:tc>
        <w:tc>
          <w:tcPr>
            <w:tcW w:w="1927" w:type="dxa"/>
            <w:hideMark/>
          </w:tcPr>
          <w:p w14:paraId="5F6716B9" w14:textId="77777777" w:rsidR="005D59D9" w:rsidRPr="007B6215" w:rsidRDefault="005D59D9" w:rsidP="00D5527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User</w:t>
            </w:r>
          </w:p>
        </w:tc>
        <w:tc>
          <w:tcPr>
            <w:tcW w:w="6514" w:type="dxa"/>
            <w:hideMark/>
          </w:tcPr>
          <w:p w14:paraId="10DF970B" w14:textId="77777777" w:rsidR="005D59D9" w:rsidRPr="007B6215" w:rsidRDefault="005D59D9" w:rsidP="00D552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Style w:val="legacy-color-text-default"/>
                <w:rFonts w:ascii="Calibri" w:eastAsia="Times New Roman" w:hAnsi="Calibri" w:cs="Calibri"/>
                <w:sz w:val="21"/>
                <w:szCs w:val="21"/>
                <w:lang w:val="en-GB"/>
              </w:rPr>
              <w:t>Interaction of people (CCAM users and non-users) with CCAM system; their opinions, expectations and awareness of the technology, and how they use it.</w:t>
            </w:r>
          </w:p>
        </w:tc>
      </w:tr>
      <w:tr w:rsidR="005D59D9" w:rsidRPr="007B6215" w14:paraId="5B3D5F85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  <w:hideMark/>
          </w:tcPr>
          <w:p w14:paraId="0D68628D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  <w:hideMark/>
          </w:tcPr>
          <w:p w14:paraId="78998121" w14:textId="77777777" w:rsidR="005D59D9" w:rsidRPr="007B6215" w:rsidRDefault="005D59D9" w:rsidP="00D55274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People mobility</w:t>
            </w:r>
          </w:p>
        </w:tc>
        <w:tc>
          <w:tcPr>
            <w:tcW w:w="6514" w:type="dxa"/>
            <w:hideMark/>
          </w:tcPr>
          <w:p w14:paraId="33FBBAE3" w14:textId="77777777" w:rsidR="005D59D9" w:rsidRPr="007B6215" w:rsidRDefault="005D59D9" w:rsidP="00D552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1"/>
                <w:szCs w:val="21"/>
                <w:lang w:val="en-GB"/>
              </w:rPr>
            </w:pPr>
            <w:r w:rsidRPr="007B6215">
              <w:rPr>
                <w:rStyle w:val="Strong"/>
                <w:rFonts w:cs="Calibri"/>
                <w:b w:val="0"/>
                <w:bCs w:val="0"/>
                <w:sz w:val="21"/>
                <w:szCs w:val="21"/>
                <w:lang w:val="en-GB"/>
              </w:rPr>
              <w:t>Individuals' potential and actual mobility choices; availability, access, quality, suitability, and affordability of mobility options.</w:t>
            </w:r>
          </w:p>
        </w:tc>
      </w:tr>
      <w:tr w:rsidR="005D59D9" w:rsidRPr="007B6215" w14:paraId="09AFEDBA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  <w:hideMark/>
          </w:tcPr>
          <w:p w14:paraId="5C864EFA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  <w:hideMark/>
          </w:tcPr>
          <w:p w14:paraId="2790A89C" w14:textId="77777777" w:rsidR="005D59D9" w:rsidRPr="007B6215" w:rsidRDefault="005D59D9" w:rsidP="00D5527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Quality of life</w:t>
            </w:r>
          </w:p>
        </w:tc>
        <w:tc>
          <w:tcPr>
            <w:tcW w:w="6514" w:type="dxa"/>
            <w:hideMark/>
          </w:tcPr>
          <w:p w14:paraId="73A12FB3" w14:textId="77777777" w:rsidR="005D59D9" w:rsidRPr="007B6215" w:rsidRDefault="005D59D9" w:rsidP="00D552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Individuals' physical, mental, social, and financial well-being.</w:t>
            </w:r>
          </w:p>
        </w:tc>
      </w:tr>
      <w:tr w:rsidR="005D59D9" w:rsidRPr="007B6215" w14:paraId="559172F8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 w:val="restart"/>
          </w:tcPr>
          <w:p w14:paraId="3D3FAA40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Transport system</w:t>
            </w:r>
          </w:p>
        </w:tc>
        <w:tc>
          <w:tcPr>
            <w:tcW w:w="1927" w:type="dxa"/>
          </w:tcPr>
          <w:p w14:paraId="4E731D22" w14:textId="77777777" w:rsidR="005D59D9" w:rsidRPr="007B6215" w:rsidRDefault="005D59D9" w:rsidP="00D55274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Services and operation</w:t>
            </w:r>
          </w:p>
        </w:tc>
        <w:tc>
          <w:tcPr>
            <w:tcW w:w="6514" w:type="dxa"/>
          </w:tcPr>
          <w:p w14:paraId="313190EC" w14:textId="77777777" w:rsidR="005D59D9" w:rsidRPr="007B6215" w:rsidRDefault="005D59D9" w:rsidP="00D552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Business models and operation of vehicle fleets and transport services, effects</w:t>
            </w:r>
            <w:r w:rsidRPr="007B6215" w:rsidDel="00ED35F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 xml:space="preserve"> </w:t>
            </w: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on the operation of traffic management of the network.</w:t>
            </w:r>
          </w:p>
        </w:tc>
      </w:tr>
      <w:tr w:rsidR="005D59D9" w:rsidRPr="007B6215" w14:paraId="6EC8C83C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47F467A3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0638C65D" w14:textId="77777777" w:rsidR="005D59D9" w:rsidRPr="007B6215" w:rsidRDefault="005D59D9" w:rsidP="00D5527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Logistics</w:t>
            </w:r>
          </w:p>
        </w:tc>
        <w:tc>
          <w:tcPr>
            <w:tcW w:w="6514" w:type="dxa"/>
          </w:tcPr>
          <w:p w14:paraId="4B1E91B6" w14:textId="77777777" w:rsidR="005D59D9" w:rsidRPr="007B6215" w:rsidRDefault="005D59D9" w:rsidP="00D552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Efficiency, effectiveness, and adaptability of the logistics process, changes</w:t>
            </w:r>
            <w:r w:rsidRPr="007B6215">
              <w:rPr>
                <w:rFonts w:ascii="Calibri" w:hAnsi="Calibri" w:cs="Calibri"/>
                <w:sz w:val="21"/>
                <w:szCs w:val="21"/>
                <w:lang w:val="en-GB"/>
              </w:rPr>
              <w:t xml:space="preserve"> in</w:t>
            </w: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 xml:space="preserve"> freight transport, and material flows in supply chain processes.</w:t>
            </w:r>
          </w:p>
        </w:tc>
      </w:tr>
      <w:tr w:rsidR="005D59D9" w:rsidRPr="007B6215" w14:paraId="3A8B9F5D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27B68CD3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21454B34" w14:textId="77777777" w:rsidR="005D59D9" w:rsidRPr="007B6215" w:rsidRDefault="005D59D9" w:rsidP="00D55274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sz w:val="21"/>
                <w:szCs w:val="21"/>
                <w:lang w:val="en-GB"/>
              </w:rPr>
              <w:t>Transport activity and fleet composition</w:t>
            </w:r>
          </w:p>
        </w:tc>
        <w:tc>
          <w:tcPr>
            <w:tcW w:w="6514" w:type="dxa"/>
          </w:tcPr>
          <w:p w14:paraId="7A62C77A" w14:textId="77777777" w:rsidR="005D59D9" w:rsidRPr="007B6215" w:rsidRDefault="005D59D9" w:rsidP="00D552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sz w:val="21"/>
                <w:szCs w:val="21"/>
                <w:lang w:val="en-GB"/>
              </w:rPr>
              <w:t>Total amount of realised travel and transport; number and types of vehicles used.</w:t>
            </w:r>
          </w:p>
        </w:tc>
      </w:tr>
      <w:tr w:rsidR="005D59D9" w:rsidRPr="007B6215" w14:paraId="72F3E599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196D78FF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17C789AF" w14:textId="77777777" w:rsidR="005D59D9" w:rsidRPr="007B6215" w:rsidRDefault="005D59D9" w:rsidP="00D5527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Traffic safety</w:t>
            </w:r>
          </w:p>
        </w:tc>
        <w:tc>
          <w:tcPr>
            <w:tcW w:w="6514" w:type="dxa"/>
          </w:tcPr>
          <w:p w14:paraId="5CF9B725" w14:textId="77777777" w:rsidR="005D59D9" w:rsidRPr="007B6215" w:rsidRDefault="005D59D9" w:rsidP="00D552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Number of accidents</w:t>
            </w:r>
            <w:r w:rsidRPr="0055398F">
              <w:rPr>
                <w:rFonts w:ascii="Calibri" w:hAnsi="Calibri" w:cs="Calibri"/>
                <w:b/>
                <w:bCs/>
                <w:color w:val="156082" w:themeColor="accent1"/>
                <w:sz w:val="21"/>
                <w:szCs w:val="21"/>
                <w:vertAlign w:val="superscript"/>
              </w:rPr>
              <w:footnoteReference w:id="1"/>
            </w: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 xml:space="preserve"> and injuries of different severities.</w:t>
            </w:r>
          </w:p>
        </w:tc>
      </w:tr>
      <w:tr w:rsidR="005D59D9" w:rsidRPr="007B6215" w14:paraId="4A8D8691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11BC12A6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77242BB7" w14:textId="77777777" w:rsidR="005D59D9" w:rsidRPr="007B6215" w:rsidRDefault="005D59D9" w:rsidP="00D55274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Traffic flow efficiency</w:t>
            </w:r>
          </w:p>
        </w:tc>
        <w:tc>
          <w:tcPr>
            <w:tcW w:w="6514" w:type="dxa"/>
          </w:tcPr>
          <w:p w14:paraId="41ADFB46" w14:textId="77777777" w:rsidR="005D59D9" w:rsidRPr="007B6215" w:rsidRDefault="005D59D9" w:rsidP="00D552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Collective traffic patterns</w:t>
            </w:r>
            <w:r w:rsidRPr="007B6215">
              <w:rPr>
                <w:rFonts w:ascii="Calibri" w:hAnsi="Calibri" w:cs="Calibri"/>
                <w:bCs/>
                <w:iCs/>
                <w:sz w:val="21"/>
                <w:szCs w:val="21"/>
                <w:lang w:val="en-GB"/>
              </w:rPr>
              <w:t>,</w:t>
            </w: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 xml:space="preserve"> travel times </w:t>
            </w:r>
            <w:r w:rsidRPr="007B6215">
              <w:rPr>
                <w:rFonts w:ascii="Calibri" w:hAnsi="Calibri" w:cs="Calibri"/>
                <w:bCs/>
                <w:iCs/>
                <w:sz w:val="21"/>
                <w:szCs w:val="21"/>
                <w:lang w:val="en-GB"/>
              </w:rPr>
              <w:t xml:space="preserve">and throughput </w:t>
            </w: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on a road network.</w:t>
            </w:r>
          </w:p>
        </w:tc>
      </w:tr>
      <w:tr w:rsidR="005D59D9" w:rsidRPr="007B6215" w14:paraId="6C880D81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32705639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1AA8919D" w14:textId="77777777" w:rsidR="005D59D9" w:rsidRPr="007B6215" w:rsidRDefault="005D59D9" w:rsidP="00D5527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Energy and environment</w:t>
            </w:r>
          </w:p>
        </w:tc>
        <w:tc>
          <w:tcPr>
            <w:tcW w:w="6514" w:type="dxa"/>
          </w:tcPr>
          <w:p w14:paraId="4FE703C2" w14:textId="77777777" w:rsidR="005D59D9" w:rsidRPr="007B6215" w:rsidRDefault="005D59D9" w:rsidP="00D552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Style w:val="inline-comment-marker"/>
                <w:rFonts w:ascii="Calibri" w:hAnsi="Calibri" w:cs="Calibri"/>
                <w:bCs/>
                <w:sz w:val="21"/>
                <w:szCs w:val="21"/>
                <w:lang w:val="en-GB"/>
              </w:rPr>
              <w:t>Energy use and emissions of vehicles</w:t>
            </w: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, air quality and noise pollution.</w:t>
            </w:r>
          </w:p>
        </w:tc>
      </w:tr>
      <w:tr w:rsidR="005D59D9" w:rsidRPr="00E71E3B" w14:paraId="0153D8CC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3A7AFA83" w14:textId="77777777" w:rsidR="005D59D9" w:rsidRPr="007B6215" w:rsidRDefault="005D59D9" w:rsidP="00D55274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1AE935C1" w14:textId="77777777" w:rsidR="005D59D9" w:rsidRPr="007B6215" w:rsidRDefault="005D59D9" w:rsidP="00D55274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Accessibility</w:t>
            </w:r>
          </w:p>
        </w:tc>
        <w:tc>
          <w:tcPr>
            <w:tcW w:w="6514" w:type="dxa"/>
          </w:tcPr>
          <w:p w14:paraId="7FBFEF7F" w14:textId="1733F165" w:rsidR="005D59D9" w:rsidRPr="007B6215" w:rsidRDefault="005D59D9" w:rsidP="50A6841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line-comment-marker"/>
                <w:rFonts w:ascii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sz w:val="21"/>
                <w:szCs w:val="21"/>
                <w:lang w:val="en-GB"/>
              </w:rPr>
              <w:t xml:space="preserve">Potential of population groups to reach destinations and services at different times of day; the potential of businesses, </w:t>
            </w:r>
            <w:r w:rsidR="0DE4DE62" w:rsidRPr="007B6215">
              <w:rPr>
                <w:rFonts w:ascii="Calibri" w:hAnsi="Calibri" w:cs="Calibri"/>
                <w:sz w:val="21"/>
                <w:szCs w:val="21"/>
                <w:lang w:val="en-GB"/>
              </w:rPr>
              <w:t>facilities</w:t>
            </w:r>
            <w:r w:rsidRPr="007B6215">
              <w:rPr>
                <w:rFonts w:ascii="Calibri" w:hAnsi="Calibri" w:cs="Calibri"/>
                <w:sz w:val="21"/>
                <w:szCs w:val="21"/>
                <w:lang w:val="en-GB"/>
              </w:rPr>
              <w:t>, and other activity centres to receive people and goods.</w:t>
            </w:r>
          </w:p>
        </w:tc>
      </w:tr>
      <w:tr w:rsidR="007B6215" w:rsidRPr="007B6215" w14:paraId="2C808C78" w14:textId="77777777" w:rsidTr="007B6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15BE09B2" w14:textId="2FA7D0D4" w:rsidR="007B6215" w:rsidRPr="007B6215" w:rsidRDefault="007B6215" w:rsidP="007B6215">
            <w:pPr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lastRenderedPageBreak/>
              <w:t>Level of evaluation</w:t>
            </w:r>
          </w:p>
        </w:tc>
        <w:tc>
          <w:tcPr>
            <w:tcW w:w="1927" w:type="dxa"/>
            <w:shd w:val="clear" w:color="auto" w:fill="66C1BF"/>
          </w:tcPr>
          <w:p w14:paraId="3686A4EA" w14:textId="195D16E8" w:rsidR="007B6215" w:rsidRPr="007B6215" w:rsidRDefault="007B6215" w:rsidP="007B621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7B6215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Area</w:t>
            </w:r>
          </w:p>
        </w:tc>
        <w:tc>
          <w:tcPr>
            <w:tcW w:w="6514" w:type="dxa"/>
            <w:shd w:val="clear" w:color="auto" w:fill="66C1BF"/>
          </w:tcPr>
          <w:p w14:paraId="66718823" w14:textId="234477DB" w:rsidR="007B6215" w:rsidRPr="007B6215" w:rsidRDefault="007B6215" w:rsidP="007B621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Scope</w:t>
            </w:r>
          </w:p>
        </w:tc>
      </w:tr>
      <w:tr w:rsidR="007B6215" w:rsidRPr="007B6215" w14:paraId="551353A4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 w:val="restart"/>
          </w:tcPr>
          <w:p w14:paraId="08B0AEC1" w14:textId="77777777" w:rsidR="007B6215" w:rsidRPr="007B6215" w:rsidRDefault="007B6215" w:rsidP="007B6215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Society</w:t>
            </w:r>
            <w:r w:rsidRPr="007B6215">
              <w:rPr>
                <w:rFonts w:ascii="Calibri" w:hAnsi="Calibri" w:cs="Calibri"/>
                <w:sz w:val="21"/>
                <w:szCs w:val="21"/>
              </w:rPr>
              <w:br/>
            </w:r>
            <w:r w:rsidRPr="007B6215">
              <w:rPr>
                <w:rFonts w:ascii="Calibri" w:hAnsi="Calibri" w:cs="Calibri"/>
                <w:sz w:val="21"/>
                <w:szCs w:val="21"/>
              </w:rPr>
              <w:br/>
            </w:r>
            <w:r w:rsidRPr="007B6215">
              <w:rPr>
                <w:rFonts w:ascii="Calibri" w:hAnsi="Calibri" w:cs="Calibri"/>
                <w:sz w:val="21"/>
                <w:szCs w:val="21"/>
              </w:rPr>
              <w:br/>
            </w:r>
          </w:p>
        </w:tc>
        <w:tc>
          <w:tcPr>
            <w:tcW w:w="1927" w:type="dxa"/>
          </w:tcPr>
          <w:p w14:paraId="7D2CCEC5" w14:textId="77777777" w:rsidR="007B6215" w:rsidRPr="007B6215" w:rsidRDefault="007B6215" w:rsidP="007B6215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 xml:space="preserve">Land </w:t>
            </w:r>
            <w:proofErr w:type="spellStart"/>
            <w:r w:rsidRPr="007B6215">
              <w:rPr>
                <w:rFonts w:ascii="Calibri" w:hAnsi="Calibri" w:cs="Calibri"/>
                <w:sz w:val="21"/>
                <w:szCs w:val="21"/>
              </w:rPr>
              <w:t>use</w:t>
            </w:r>
            <w:proofErr w:type="spellEnd"/>
          </w:p>
        </w:tc>
        <w:tc>
          <w:tcPr>
            <w:tcW w:w="6514" w:type="dxa"/>
          </w:tcPr>
          <w:p w14:paraId="3B054ACC" w14:textId="77777777" w:rsidR="007B6215" w:rsidRPr="007B6215" w:rsidRDefault="007B6215" w:rsidP="007B621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Spatial and functional implications, land utilisation patterns, including infrastructure development</w:t>
            </w:r>
            <w:r w:rsidRPr="007B6215">
              <w:rPr>
                <w:rStyle w:val="legacy-color-text-blue3"/>
                <w:rFonts w:ascii="Calibri" w:eastAsia="Times New Roman" w:hAnsi="Calibri" w:cs="Calibri"/>
                <w:sz w:val="21"/>
                <w:szCs w:val="21"/>
                <w:lang w:val="en-GB"/>
              </w:rPr>
              <w:t>.</w:t>
            </w:r>
          </w:p>
        </w:tc>
      </w:tr>
      <w:tr w:rsidR="007B6215" w:rsidRPr="007B6215" w14:paraId="5113A721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617CAB1E" w14:textId="77777777" w:rsidR="007B6215" w:rsidRPr="007B6215" w:rsidRDefault="007B6215" w:rsidP="007B6215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06BD975C" w14:textId="77777777" w:rsidR="007B6215" w:rsidRPr="007B6215" w:rsidRDefault="007B6215" w:rsidP="007B6215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7B6215">
              <w:rPr>
                <w:rFonts w:ascii="Calibri" w:hAnsi="Calibri" w:cs="Calibri"/>
                <w:sz w:val="21"/>
                <w:szCs w:val="21"/>
              </w:rPr>
              <w:t>Liveability</w:t>
            </w:r>
            <w:proofErr w:type="spellEnd"/>
          </w:p>
        </w:tc>
        <w:tc>
          <w:tcPr>
            <w:tcW w:w="6514" w:type="dxa"/>
          </w:tcPr>
          <w:p w14:paraId="326468C2" w14:textId="77777777" w:rsidR="007B6215" w:rsidRPr="007B6215" w:rsidRDefault="007B6215" w:rsidP="007B621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Suitability or quality of living in the studied area(s).</w:t>
            </w:r>
          </w:p>
        </w:tc>
      </w:tr>
      <w:tr w:rsidR="007B6215" w:rsidRPr="007B6215" w14:paraId="7B05EAC0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79FF6FDB" w14:textId="77777777" w:rsidR="007B6215" w:rsidRPr="007B6215" w:rsidRDefault="007B6215" w:rsidP="007B6215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577320B7" w14:textId="77777777" w:rsidR="007B6215" w:rsidRPr="007B6215" w:rsidRDefault="007B6215" w:rsidP="007B6215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7B6215">
              <w:rPr>
                <w:rFonts w:ascii="Calibri" w:hAnsi="Calibri" w:cs="Calibri"/>
                <w:sz w:val="21"/>
                <w:szCs w:val="21"/>
              </w:rPr>
              <w:t>Economic</w:t>
            </w:r>
            <w:proofErr w:type="spellEnd"/>
            <w:r w:rsidRPr="007B621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7B6215">
              <w:rPr>
                <w:rFonts w:ascii="Calibri" w:hAnsi="Calibri" w:cs="Calibri"/>
                <w:sz w:val="21"/>
                <w:szCs w:val="21"/>
              </w:rPr>
              <w:t>activity</w:t>
            </w:r>
            <w:proofErr w:type="spellEnd"/>
            <w:r w:rsidRPr="007B6215">
              <w:rPr>
                <w:rFonts w:ascii="Calibri" w:hAnsi="Calibri" w:cs="Calibri"/>
                <w:sz w:val="21"/>
                <w:szCs w:val="21"/>
              </w:rPr>
              <w:t xml:space="preserve"> and </w:t>
            </w:r>
            <w:proofErr w:type="spellStart"/>
            <w:r w:rsidRPr="007B6215">
              <w:rPr>
                <w:rFonts w:ascii="Calibri" w:hAnsi="Calibri" w:cs="Calibri"/>
                <w:sz w:val="21"/>
                <w:szCs w:val="21"/>
              </w:rPr>
              <w:t>employment</w:t>
            </w:r>
            <w:proofErr w:type="spellEnd"/>
          </w:p>
        </w:tc>
        <w:tc>
          <w:tcPr>
            <w:tcW w:w="6514" w:type="dxa"/>
          </w:tcPr>
          <w:p w14:paraId="76BAE591" w14:textId="77777777" w:rsidR="007B6215" w:rsidRPr="007B6215" w:rsidRDefault="007B6215" w:rsidP="007B621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Economic development and labour dynamics, overall economic vitality, evolution of businesses and the job market, and skill requirements of the workforce.</w:t>
            </w:r>
          </w:p>
        </w:tc>
      </w:tr>
      <w:tr w:rsidR="007B6215" w:rsidRPr="007B6215" w14:paraId="018B33C0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2D0BCA5A" w14:textId="77777777" w:rsidR="007B6215" w:rsidRPr="007B6215" w:rsidRDefault="007B6215" w:rsidP="007B6215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385EA940" w14:textId="77777777" w:rsidR="007B6215" w:rsidRPr="007B6215" w:rsidRDefault="007B6215" w:rsidP="007B6215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7B6215">
              <w:rPr>
                <w:rFonts w:ascii="Calibri" w:hAnsi="Calibri" w:cs="Calibri"/>
                <w:sz w:val="21"/>
                <w:szCs w:val="21"/>
              </w:rPr>
              <w:t>Socio-economics</w:t>
            </w:r>
            <w:proofErr w:type="spellEnd"/>
          </w:p>
        </w:tc>
        <w:tc>
          <w:tcPr>
            <w:tcW w:w="6514" w:type="dxa"/>
          </w:tcPr>
          <w:p w14:paraId="228FCBD3" w14:textId="77777777" w:rsidR="007B6215" w:rsidRPr="007B6215" w:rsidRDefault="007B6215" w:rsidP="007B621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Economic and societal outcomes of CCAM, benefits and costs, societal and economic value.</w:t>
            </w:r>
          </w:p>
        </w:tc>
      </w:tr>
      <w:tr w:rsidR="007B6215" w:rsidRPr="007B6215" w14:paraId="1B5E0A55" w14:textId="77777777" w:rsidTr="00011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544CF4E9" w14:textId="77777777" w:rsidR="007B6215" w:rsidRPr="007B6215" w:rsidRDefault="007B6215" w:rsidP="007B6215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275C7646" w14:textId="77777777" w:rsidR="007B6215" w:rsidRPr="007B6215" w:rsidRDefault="007B6215" w:rsidP="007B6215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7B6215">
              <w:rPr>
                <w:rFonts w:ascii="Calibri" w:hAnsi="Calibri" w:cs="Calibri"/>
                <w:sz w:val="21"/>
                <w:szCs w:val="21"/>
              </w:rPr>
              <w:t>Equity</w:t>
            </w:r>
            <w:proofErr w:type="spellEnd"/>
          </w:p>
        </w:tc>
        <w:tc>
          <w:tcPr>
            <w:tcW w:w="6514" w:type="dxa"/>
          </w:tcPr>
          <w:p w14:paraId="21322264" w14:textId="77777777" w:rsidR="007B6215" w:rsidRPr="007B6215" w:rsidRDefault="007B6215" w:rsidP="007B621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r w:rsidRPr="007B6215">
              <w:rPr>
                <w:rFonts w:ascii="Calibri" w:eastAsia="Calibri" w:hAnsi="Calibri" w:cs="Calibri"/>
                <w:sz w:val="21"/>
                <w:szCs w:val="21"/>
                <w:lang w:val="en-GB"/>
              </w:rPr>
              <w:t>Fairness, impartiality, and inclusivity, how impacts are distributed across different population groups, regions or generations.</w:t>
            </w:r>
          </w:p>
        </w:tc>
      </w:tr>
      <w:tr w:rsidR="007B6215" w:rsidRPr="007B6215" w14:paraId="6D322C76" w14:textId="77777777" w:rsidTr="000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vMerge/>
          </w:tcPr>
          <w:p w14:paraId="01BF149B" w14:textId="77777777" w:rsidR="007B6215" w:rsidRPr="007B6215" w:rsidRDefault="007B6215" w:rsidP="007B6215">
            <w:pPr>
              <w:spacing w:before="120" w:after="120"/>
              <w:jc w:val="left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1927" w:type="dxa"/>
          </w:tcPr>
          <w:p w14:paraId="1A863ADA" w14:textId="77777777" w:rsidR="007B6215" w:rsidRPr="007B6215" w:rsidRDefault="007B6215" w:rsidP="007B6215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7B6215">
              <w:rPr>
                <w:rFonts w:ascii="Calibri" w:hAnsi="Calibri" w:cs="Calibri"/>
                <w:sz w:val="21"/>
                <w:szCs w:val="21"/>
              </w:rPr>
              <w:t>Sustainability</w:t>
            </w:r>
          </w:p>
        </w:tc>
        <w:tc>
          <w:tcPr>
            <w:tcW w:w="6514" w:type="dxa"/>
          </w:tcPr>
          <w:p w14:paraId="2A8C8E0C" w14:textId="77777777" w:rsidR="007B6215" w:rsidRPr="007B6215" w:rsidRDefault="007B6215" w:rsidP="007B621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  <w:lang w:val="en-GB"/>
              </w:rPr>
            </w:pPr>
            <w:r w:rsidRPr="007B6215">
              <w:rPr>
                <w:rFonts w:ascii="Calibri" w:hAnsi="Calibri" w:cs="Calibri"/>
                <w:sz w:val="21"/>
                <w:szCs w:val="21"/>
                <w:lang w:val="en-GB"/>
              </w:rPr>
              <w:t>Environmental integrity, social well-being, and economic vitality, capacity to meet current needs while not compromising resource and opportunity availability for future generations.</w:t>
            </w:r>
          </w:p>
        </w:tc>
      </w:tr>
    </w:tbl>
    <w:p w14:paraId="295B3DDC" w14:textId="5B70F32F" w:rsidR="00772E8A" w:rsidRPr="00772E8A" w:rsidRDefault="00772E8A" w:rsidP="005D59D9">
      <w:pPr>
        <w:rPr>
          <w:rFonts w:ascii="Calibri" w:hAnsi="Calibri" w:cs="Calibri"/>
          <w:lang w:val="en-GB"/>
        </w:rPr>
      </w:pPr>
    </w:p>
    <w:sectPr w:rsidR="00772E8A" w:rsidRPr="00772E8A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8D86" w14:textId="77777777" w:rsidR="00156B7F" w:rsidRDefault="00156B7F" w:rsidP="005D59D9">
      <w:pPr>
        <w:spacing w:after="0" w:line="240" w:lineRule="auto"/>
      </w:pPr>
      <w:r>
        <w:separator/>
      </w:r>
    </w:p>
  </w:endnote>
  <w:endnote w:type="continuationSeparator" w:id="0">
    <w:p w14:paraId="4A91421F" w14:textId="77777777" w:rsidR="00156B7F" w:rsidRDefault="00156B7F" w:rsidP="005D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Koppen CS)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4609" w14:textId="77777777" w:rsidR="00E07747" w:rsidRDefault="00E07747" w:rsidP="00E07747">
    <w:pPr>
      <w:tabs>
        <w:tab w:val="left" w:pos="916"/>
        <w:tab w:val="right" w:pos="10652"/>
      </w:tabs>
      <w:rPr>
        <w:sz w:val="12"/>
      </w:rPr>
    </w:pPr>
    <w:r w:rsidRPr="00A724F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F86961A" wp14:editId="49395DE1">
              <wp:simplePos x="0" y="0"/>
              <wp:positionH relativeFrom="column">
                <wp:posOffset>5438775</wp:posOffset>
              </wp:positionH>
              <wp:positionV relativeFrom="paragraph">
                <wp:posOffset>162560</wp:posOffset>
              </wp:positionV>
              <wp:extent cx="535305" cy="471987"/>
              <wp:effectExtent l="0" t="0" r="0" b="0"/>
              <wp:wrapNone/>
              <wp:docPr id="5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4719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6ED799" w14:textId="77777777" w:rsidR="00E07747" w:rsidRPr="004C687B" w:rsidRDefault="00E07747" w:rsidP="00E07747">
                          <w:pPr>
                            <w:rPr>
                              <w:sz w:val="16"/>
                            </w:rPr>
                          </w:pPr>
                          <w:r w:rsidRPr="004C687B">
                            <w:rPr>
                              <w:sz w:val="16"/>
                            </w:rPr>
                            <w:fldChar w:fldCharType="begin"/>
                          </w:r>
                          <w:r w:rsidRPr="004C687B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 w:rsidRPr="004C687B"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17</w:t>
                          </w:r>
                          <w:r w:rsidRPr="004C687B">
                            <w:rPr>
                              <w:sz w:val="16"/>
                            </w:rPr>
                            <w:fldChar w:fldCharType="end"/>
                          </w:r>
                        </w:p>
                        <w:p w14:paraId="5651D010" w14:textId="77777777" w:rsidR="00E07747" w:rsidRPr="004C687B" w:rsidRDefault="00E07747" w:rsidP="00E07747">
                          <w:pPr>
                            <w:rPr>
                              <w:sz w:val="16"/>
                            </w:rPr>
                          </w:pPr>
                        </w:p>
                        <w:p w14:paraId="1BA7DA98" w14:textId="77777777" w:rsidR="00E07747" w:rsidRPr="004C687B" w:rsidRDefault="00E07747" w:rsidP="00E07747">
                          <w:pPr>
                            <w:rPr>
                              <w:sz w:val="16"/>
                            </w:rPr>
                          </w:pPr>
                          <w:r w:rsidRPr="004C687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6961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428.25pt;margin-top:12.8pt;width:42.15pt;height:37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CXFwIAACs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" filled="f" stroked="f" strokeweight=".5pt">
              <v:textbox>
                <w:txbxContent>
                  <w:p w14:paraId="2B6ED799" w14:textId="77777777" w:rsidR="00E07747" w:rsidRPr="004C687B" w:rsidRDefault="00E07747" w:rsidP="00E07747">
                    <w:pPr>
                      <w:rPr>
                        <w:sz w:val="16"/>
                      </w:rPr>
                    </w:pPr>
                    <w:r w:rsidRPr="004C687B">
                      <w:rPr>
                        <w:sz w:val="16"/>
                      </w:rPr>
                      <w:fldChar w:fldCharType="begin"/>
                    </w:r>
                    <w:r w:rsidRPr="004C687B">
                      <w:rPr>
                        <w:sz w:val="16"/>
                      </w:rPr>
                      <w:instrText xml:space="preserve"> PAGE  \* MERGEFORMAT </w:instrText>
                    </w:r>
                    <w:r w:rsidRPr="004C687B"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17</w:t>
                    </w:r>
                    <w:r w:rsidRPr="004C687B">
                      <w:rPr>
                        <w:sz w:val="16"/>
                      </w:rPr>
                      <w:fldChar w:fldCharType="end"/>
                    </w:r>
                  </w:p>
                  <w:p w14:paraId="5651D010" w14:textId="77777777" w:rsidR="00E07747" w:rsidRPr="004C687B" w:rsidRDefault="00E07747" w:rsidP="00E07747">
                    <w:pPr>
                      <w:rPr>
                        <w:sz w:val="16"/>
                      </w:rPr>
                    </w:pPr>
                  </w:p>
                  <w:p w14:paraId="1BA7DA98" w14:textId="77777777" w:rsidR="00E07747" w:rsidRPr="004C687B" w:rsidRDefault="00E07747" w:rsidP="00E07747">
                    <w:pPr>
                      <w:rPr>
                        <w:sz w:val="16"/>
                      </w:rPr>
                    </w:pPr>
                    <w:r w:rsidRPr="004C687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Pr="00A724F4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D352EF" wp14:editId="1E217EA2">
              <wp:simplePos x="0" y="0"/>
              <wp:positionH relativeFrom="column">
                <wp:posOffset>5399314</wp:posOffset>
              </wp:positionH>
              <wp:positionV relativeFrom="paragraph">
                <wp:posOffset>133078</wp:posOffset>
              </wp:positionV>
              <wp:extent cx="0" cy="499654"/>
              <wp:effectExtent l="0" t="0" r="38100" b="34290"/>
              <wp:wrapNone/>
              <wp:docPr id="54" name="Прямая соединительная линия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9654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4EF50" id="Прямая соединительная линия 54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15pt,10.5pt" to="425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" strokecolor="#d8d8d8 [2732]" strokeweight="1pt">
              <v:stroke joinstyle="miter"/>
            </v:line>
          </w:pict>
        </mc:Fallback>
      </mc:AlternateContent>
    </w:r>
  </w:p>
  <w:p w14:paraId="56D97F77" w14:textId="77777777" w:rsidR="00E07747" w:rsidRPr="00F20148" w:rsidRDefault="00000000" w:rsidP="00E07747">
    <w:pPr>
      <w:tabs>
        <w:tab w:val="left" w:pos="916"/>
        <w:tab w:val="right" w:pos="10652"/>
      </w:tabs>
      <w:rPr>
        <w:sz w:val="14"/>
      </w:rPr>
    </w:pPr>
    <w:sdt>
      <w:sdtPr>
        <w:rPr>
          <w:sz w:val="16"/>
          <w:szCs w:val="16"/>
        </w:rPr>
        <w:alias w:val="Dissemination level"/>
        <w:tag w:val="Dissemination level"/>
        <w:id w:val="-1350568807"/>
        <w:dropDownList>
          <w:listItem w:displayText="Choose an item." w:value="Choose an item."/>
          <w:listItem w:displayText="PU — Public" w:value="PU — Public"/>
          <w:listItem w:displayText="SEN — Sensitive" w:value="SEN — Sensitive"/>
        </w:dropDownList>
      </w:sdtPr>
      <w:sdtContent>
        <w:r w:rsidR="00E07747">
          <w:rPr>
            <w:sz w:val="16"/>
            <w:szCs w:val="16"/>
          </w:rPr>
          <w:t>PU — Public</w:t>
        </w:r>
      </w:sdtContent>
    </w:sdt>
  </w:p>
  <w:p w14:paraId="70FBDAE9" w14:textId="77777777" w:rsidR="00E07747" w:rsidRDefault="00E07747" w:rsidP="00E07747">
    <w:pPr>
      <w:tabs>
        <w:tab w:val="left" w:pos="916"/>
        <w:tab w:val="right" w:pos="10652"/>
      </w:tabs>
    </w:pPr>
    <w:r>
      <w:rPr>
        <w:noProof/>
        <w:sz w:val="16"/>
        <w:szCs w:val="16"/>
      </w:rPr>
      <w:drawing>
        <wp:anchor distT="0" distB="0" distL="114300" distR="114300" simplePos="0" relativeHeight="251658244" behindDoc="1" locked="1" layoutInCell="1" allowOverlap="1" wp14:anchorId="0603BE3C" wp14:editId="58A5ABCF">
          <wp:simplePos x="0" y="0"/>
          <wp:positionH relativeFrom="column">
            <wp:posOffset>-228600</wp:posOffset>
          </wp:positionH>
          <wp:positionV relativeFrom="paragraph">
            <wp:posOffset>-105410</wp:posOffset>
          </wp:positionV>
          <wp:extent cx="3430270" cy="647700"/>
          <wp:effectExtent l="0" t="0" r="0" b="0"/>
          <wp:wrapNone/>
          <wp:docPr id="1989248983" name="Picture 3" descr="A red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647418" name="Picture 3" descr="A red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2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B4753AB" w14:textId="0909FEF4" w:rsidR="00E07747" w:rsidRDefault="00E07747" w:rsidP="00E0774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8856" w14:textId="77777777" w:rsidR="00156B7F" w:rsidRDefault="00156B7F" w:rsidP="005D59D9">
      <w:pPr>
        <w:spacing w:after="0" w:line="240" w:lineRule="auto"/>
      </w:pPr>
      <w:r>
        <w:separator/>
      </w:r>
    </w:p>
  </w:footnote>
  <w:footnote w:type="continuationSeparator" w:id="0">
    <w:p w14:paraId="60DC9AFF" w14:textId="77777777" w:rsidR="00156B7F" w:rsidRDefault="00156B7F" w:rsidP="005D59D9">
      <w:pPr>
        <w:spacing w:after="0" w:line="240" w:lineRule="auto"/>
      </w:pPr>
      <w:r>
        <w:continuationSeparator/>
      </w:r>
    </w:p>
  </w:footnote>
  <w:footnote w:id="1">
    <w:p w14:paraId="38E09D5C" w14:textId="77777777" w:rsidR="005D59D9" w:rsidRPr="00447056" w:rsidRDefault="005D59D9" w:rsidP="005D59D9">
      <w:pPr>
        <w:pStyle w:val="FootnoteText"/>
      </w:pPr>
      <w:r w:rsidRPr="0055398F">
        <w:rPr>
          <w:rStyle w:val="FootnoteReference"/>
          <w:b/>
          <w:bCs/>
          <w:color w:val="156082" w:themeColor="accent1"/>
        </w:rPr>
        <w:footnoteRef/>
      </w:r>
      <w:r w:rsidRPr="0055398F">
        <w:rPr>
          <w:b/>
          <w:bCs/>
          <w:color w:val="156082" w:themeColor="accent1"/>
        </w:rPr>
        <w:t xml:space="preserve"> </w:t>
      </w:r>
      <w:r>
        <w:t>D</w:t>
      </w:r>
      <w:r w:rsidRPr="00447056">
        <w:t>uring the writing of this handbook</w:t>
      </w:r>
      <w:r>
        <w:t>,</w:t>
      </w:r>
      <w:r w:rsidRPr="00447056">
        <w:t xml:space="preserve"> </w:t>
      </w:r>
      <w:r>
        <w:t xml:space="preserve">it was noted </w:t>
      </w:r>
      <w:r w:rsidRPr="00447056">
        <w:t xml:space="preserve">that </w:t>
      </w:r>
      <w:r>
        <w:t xml:space="preserve">the </w:t>
      </w:r>
      <w:r w:rsidRPr="00447056">
        <w:t xml:space="preserve">terms ‘a crash’ or ‘a collision’ were </w:t>
      </w:r>
      <w:r>
        <w:t>often used interchangeably</w:t>
      </w:r>
      <w:r w:rsidRPr="00447056">
        <w:t xml:space="preserve"> </w:t>
      </w:r>
      <w:r>
        <w:t>with</w:t>
      </w:r>
      <w:r w:rsidRPr="00447056">
        <w:t xml:space="preserve"> ‘an accident’. It is </w:t>
      </w:r>
      <w:r>
        <w:t>perfectly acceptable</w:t>
      </w:r>
      <w:r w:rsidRPr="00447056">
        <w:t xml:space="preserve"> to use any of these </w:t>
      </w:r>
      <w:r>
        <w:t>terms</w:t>
      </w:r>
      <w:r w:rsidRPr="0044705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1C59" w14:textId="3C254C1C" w:rsidR="0088650D" w:rsidRPr="00257B41" w:rsidRDefault="002E49C7" w:rsidP="002E49C7">
    <w:r w:rsidRPr="00513C8E">
      <w:rPr>
        <w:lang w:val="en-GB"/>
      </w:rPr>
      <w:t xml:space="preserve">CCAMbassador - </w:t>
    </w:r>
    <w:r w:rsidR="00257B41">
      <w:t>Supplementary material for EU-CEM users</w:t>
    </w: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FC1F0C0" wp14:editId="7E3DEC4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3175" b="2540"/>
              <wp:wrapNone/>
              <wp:docPr id="965286911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B57E" id="Rectangle 2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nl-NL"/>
      </w:rPr>
      <w:drawing>
        <wp:anchor distT="0" distB="0" distL="114300" distR="114300" simplePos="0" relativeHeight="251658241" behindDoc="1" locked="1" layoutInCell="1" allowOverlap="1" wp14:anchorId="289E9426" wp14:editId="59F076D5">
          <wp:simplePos x="0" y="0"/>
          <wp:positionH relativeFrom="column">
            <wp:posOffset>5546725</wp:posOffset>
          </wp:positionH>
          <wp:positionV relativeFrom="paragraph">
            <wp:posOffset>-493395</wp:posOffset>
          </wp:positionV>
          <wp:extent cx="1079500" cy="1079500"/>
          <wp:effectExtent l="0" t="0" r="0" b="0"/>
          <wp:wrapNone/>
          <wp:docPr id="1740343993" name="Picture 2" descr="A logo with circles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3207" name="Picture 2" descr="A logo with circles and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4F4F"/>
    <w:multiLevelType w:val="multilevel"/>
    <w:tmpl w:val="7BF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05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A"/>
    <w:rsid w:val="00011DF9"/>
    <w:rsid w:val="000B2456"/>
    <w:rsid w:val="000B2B20"/>
    <w:rsid w:val="000B6A3B"/>
    <w:rsid w:val="001247D4"/>
    <w:rsid w:val="00156B7F"/>
    <w:rsid w:val="00187A45"/>
    <w:rsid w:val="002044B7"/>
    <w:rsid w:val="00257B41"/>
    <w:rsid w:val="00272B2E"/>
    <w:rsid w:val="002774DE"/>
    <w:rsid w:val="002E49C7"/>
    <w:rsid w:val="0040365B"/>
    <w:rsid w:val="00404D30"/>
    <w:rsid w:val="00411723"/>
    <w:rsid w:val="004530B1"/>
    <w:rsid w:val="004B4CD6"/>
    <w:rsid w:val="004F15C8"/>
    <w:rsid w:val="00513C8E"/>
    <w:rsid w:val="00543C52"/>
    <w:rsid w:val="0055398F"/>
    <w:rsid w:val="00553CD1"/>
    <w:rsid w:val="005D59D9"/>
    <w:rsid w:val="00610A51"/>
    <w:rsid w:val="00672F18"/>
    <w:rsid w:val="006A215C"/>
    <w:rsid w:val="00723F64"/>
    <w:rsid w:val="00725990"/>
    <w:rsid w:val="007334F4"/>
    <w:rsid w:val="00772E8A"/>
    <w:rsid w:val="007B26F0"/>
    <w:rsid w:val="007B6215"/>
    <w:rsid w:val="008031DF"/>
    <w:rsid w:val="00824464"/>
    <w:rsid w:val="0088650D"/>
    <w:rsid w:val="008D4420"/>
    <w:rsid w:val="008E22E5"/>
    <w:rsid w:val="008E2713"/>
    <w:rsid w:val="00945460"/>
    <w:rsid w:val="00952498"/>
    <w:rsid w:val="00A2203B"/>
    <w:rsid w:val="00A511D6"/>
    <w:rsid w:val="00B329E1"/>
    <w:rsid w:val="00B67B4D"/>
    <w:rsid w:val="00B9107A"/>
    <w:rsid w:val="00BD38B2"/>
    <w:rsid w:val="00C046E2"/>
    <w:rsid w:val="00C06EE2"/>
    <w:rsid w:val="00C5533B"/>
    <w:rsid w:val="00C61BD8"/>
    <w:rsid w:val="00C93F49"/>
    <w:rsid w:val="00CB284C"/>
    <w:rsid w:val="00CB59B3"/>
    <w:rsid w:val="00CC01DC"/>
    <w:rsid w:val="00CF5785"/>
    <w:rsid w:val="00D10C76"/>
    <w:rsid w:val="00D13F9C"/>
    <w:rsid w:val="00D97A72"/>
    <w:rsid w:val="00DE7F95"/>
    <w:rsid w:val="00E07747"/>
    <w:rsid w:val="00E71E3B"/>
    <w:rsid w:val="00F704D3"/>
    <w:rsid w:val="00FC6348"/>
    <w:rsid w:val="00FE486D"/>
    <w:rsid w:val="0686B3DF"/>
    <w:rsid w:val="075FCB65"/>
    <w:rsid w:val="0DE4DE62"/>
    <w:rsid w:val="1C131365"/>
    <w:rsid w:val="3FEC84E8"/>
    <w:rsid w:val="50A68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1C229"/>
  <w15:chartTrackingRefBased/>
  <w15:docId w15:val="{7671F8C9-0F74-4B0C-9B29-9C4A2592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E8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72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E8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2E8A"/>
  </w:style>
  <w:style w:type="character" w:styleId="Strong">
    <w:name w:val="Strong"/>
    <w:basedOn w:val="DefaultParagraphFont"/>
    <w:uiPriority w:val="22"/>
    <w:qFormat/>
    <w:rsid w:val="00772E8A"/>
    <w:rPr>
      <w:rFonts w:ascii="Calibri" w:hAnsi="Calibri"/>
      <w:b/>
      <w:bCs/>
      <w:i w:val="0"/>
      <w:sz w:val="20"/>
    </w:rPr>
  </w:style>
  <w:style w:type="character" w:styleId="Hyperlink">
    <w:name w:val="Hyperlink"/>
    <w:basedOn w:val="DefaultParagraphFont"/>
    <w:uiPriority w:val="99"/>
    <w:unhideWhenUsed/>
    <w:rsid w:val="00772E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E8A"/>
    <w:rPr>
      <w:color w:val="605E5C"/>
      <w:shd w:val="clear" w:color="auto" w:fill="E1DFDD"/>
    </w:rPr>
  </w:style>
  <w:style w:type="character" w:styleId="FootnoteReference">
    <w:name w:val="footnote reference"/>
    <w:aliases w:val="Footnote,IT Fußnotenzeichen"/>
    <w:rsid w:val="005D59D9"/>
    <w:rPr>
      <w:rFonts w:asciiTheme="minorHAnsi" w:hAnsiTheme="minorHAnsi"/>
      <w:sz w:val="22"/>
      <w:szCs w:val="24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qFormat/>
    <w:rsid w:val="005D59D9"/>
    <w:pPr>
      <w:spacing w:after="120" w:line="276" w:lineRule="auto"/>
      <w:jc w:val="both"/>
    </w:pPr>
    <w:rPr>
      <w:rFonts w:eastAsia="Times New Roman" w:cs="Times New Roman"/>
      <w:color w:val="595959" w:themeColor="text1" w:themeTint="A6"/>
      <w:kern w:val="0"/>
      <w:sz w:val="18"/>
      <w:szCs w:val="20"/>
      <w:lang w:val="en-GB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59D9"/>
    <w:rPr>
      <w:rFonts w:eastAsia="Times New Roman" w:cs="Times New Roman"/>
      <w:color w:val="595959" w:themeColor="text1" w:themeTint="A6"/>
      <w:kern w:val="0"/>
      <w:sz w:val="18"/>
      <w:szCs w:val="20"/>
      <w:lang w:val="en-GB" w:eastAsia="en-GB"/>
      <w14:ligatures w14:val="none"/>
    </w:rPr>
  </w:style>
  <w:style w:type="character" w:customStyle="1" w:styleId="inline-comment-marker">
    <w:name w:val="inline-comment-marker"/>
    <w:basedOn w:val="DefaultParagraphFont"/>
    <w:rsid w:val="005D59D9"/>
  </w:style>
  <w:style w:type="character" w:customStyle="1" w:styleId="legacy-color-text-blue3">
    <w:name w:val="legacy-color-text-blue3"/>
    <w:basedOn w:val="DefaultParagraphFont"/>
    <w:rsid w:val="005D59D9"/>
  </w:style>
  <w:style w:type="character" w:customStyle="1" w:styleId="legacy-color-text-default">
    <w:name w:val="legacy-color-text-default"/>
    <w:basedOn w:val="DefaultParagraphFont"/>
    <w:rsid w:val="005D59D9"/>
  </w:style>
  <w:style w:type="table" w:customStyle="1" w:styleId="CEMguideline">
    <w:name w:val="CEM guideline"/>
    <w:basedOn w:val="TableNormal"/>
    <w:uiPriority w:val="99"/>
    <w:rsid w:val="005D59D9"/>
    <w:pPr>
      <w:spacing w:before="100" w:after="100" w:line="276" w:lineRule="auto"/>
      <w:jc w:val="both"/>
    </w:pPr>
    <w:rPr>
      <w:rFonts w:ascii="Calibri" w:hAnsi="Calibri"/>
      <w:color w:val="595959" w:themeColor="text1" w:themeTint="A6"/>
      <w:kern w:val="0"/>
      <w:sz w:val="20"/>
      <w:lang w:val="nl-NL"/>
      <w14:ligatures w14:val="none"/>
    </w:rPr>
    <w:tblPr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7" w:type="dxa"/>
        <w:bottom w:w="17" w:type="dxa"/>
      </w:tblCellMar>
    </w:tblPr>
    <w:tcPr>
      <w:shd w:val="clear" w:color="auto" w:fill="E8E8E8" w:themeFill="background2"/>
    </w:tcPr>
  </w:style>
  <w:style w:type="paragraph" w:styleId="Header">
    <w:name w:val="header"/>
    <w:basedOn w:val="Normal"/>
    <w:link w:val="HeaderChar"/>
    <w:uiPriority w:val="99"/>
    <w:unhideWhenUsed/>
    <w:rsid w:val="00886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50D"/>
  </w:style>
  <w:style w:type="paragraph" w:styleId="Footer">
    <w:name w:val="footer"/>
    <w:basedOn w:val="Normal"/>
    <w:link w:val="FooterChar"/>
    <w:uiPriority w:val="99"/>
    <w:unhideWhenUsed/>
    <w:rsid w:val="00886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50D"/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952498"/>
    <w:pPr>
      <w:spacing w:after="0" w:line="240" w:lineRule="auto"/>
      <w:jc w:val="both"/>
    </w:pPr>
    <w:rPr>
      <w:kern w:val="0"/>
      <w:sz w:val="24"/>
      <w:szCs w:val="24"/>
      <w:lang w:val="nl-BE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0F2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6C1B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6C1B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6C1B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6C1BF"/>
      </w:tcPr>
    </w:tblStylePr>
    <w:tblStylePr w:type="band1Vert">
      <w:tblPr/>
      <w:tcPr>
        <w:shd w:val="clear" w:color="auto" w:fill="C1E6E5"/>
      </w:tcPr>
    </w:tblStylePr>
    <w:tblStylePr w:type="band1Horz">
      <w:tblPr/>
      <w:tcPr>
        <w:shd w:val="clear" w:color="auto" w:fill="C1E6E5"/>
      </w:tcPr>
    </w:tblStylePr>
  </w:style>
  <w:style w:type="table" w:styleId="GridTable5Dark-Accent3">
    <w:name w:val="Grid Table 5 Dark Accent 3"/>
    <w:basedOn w:val="TableNormal"/>
    <w:uiPriority w:val="50"/>
    <w:rsid w:val="009524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E07747"/>
    <w:pPr>
      <w:spacing w:after="0" w:line="276" w:lineRule="auto"/>
      <w:ind w:left="800"/>
    </w:pPr>
    <w:rPr>
      <w:rFonts w:ascii="Calibri" w:hAnsi="Calibri" w:cstheme="minorHAnsi"/>
      <w:color w:val="000000" w:themeColor="text1"/>
      <w:kern w:val="0"/>
      <w:sz w:val="18"/>
      <w:szCs w:val="18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215"/>
    <w:rPr>
      <w:b/>
      <w:bCs/>
      <w:sz w:val="20"/>
      <w:szCs w:val="20"/>
    </w:rPr>
  </w:style>
  <w:style w:type="paragraph" w:customStyle="1" w:styleId="Table-Label">
    <w:name w:val="Table - Label"/>
    <w:basedOn w:val="Normal"/>
    <w:link w:val="Table-LabelChar"/>
    <w:autoRedefine/>
    <w:qFormat/>
    <w:rsid w:val="00D13F9C"/>
    <w:pPr>
      <w:spacing w:before="120" w:after="120" w:line="276" w:lineRule="auto"/>
    </w:pPr>
    <w:rPr>
      <w:rFonts w:ascii="Calibri" w:hAnsi="Calibri" w:cs="Calibri"/>
      <w:color w:val="8DC1BB"/>
      <w:kern w:val="0"/>
      <w:szCs w:val="28"/>
      <w:lang w:val="en-GB"/>
      <w14:ligatures w14:val="none"/>
    </w:rPr>
  </w:style>
  <w:style w:type="character" w:customStyle="1" w:styleId="Table-LabelChar">
    <w:name w:val="Table - Label Char"/>
    <w:basedOn w:val="DefaultParagraphFont"/>
    <w:link w:val="Table-Label"/>
    <w:rsid w:val="00D13F9C"/>
    <w:rPr>
      <w:rFonts w:ascii="Calibri" w:hAnsi="Calibri" w:cs="Calibri"/>
      <w:color w:val="8DC1BB"/>
      <w:kern w:val="0"/>
      <w:szCs w:val="2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5E03FA15EAF49927269F621E24E76" ma:contentTypeVersion="18" ma:contentTypeDescription="Ein neues Dokument erstellen." ma:contentTypeScope="" ma:versionID="d6fad480320a1442d273a4055980e5a7">
  <xsd:schema xmlns:xsd="http://www.w3.org/2001/XMLSchema" xmlns:xs="http://www.w3.org/2001/XMLSchema" xmlns:p="http://schemas.microsoft.com/office/2006/metadata/properties" xmlns:ns1="http://schemas.microsoft.com/sharepoint/v3" xmlns:ns2="20017f5f-d659-4968-8f45-09f2abe45d73" xmlns:ns3="64facb60-4212-4ef3-9310-41f075a21363" targetNamespace="http://schemas.microsoft.com/office/2006/metadata/properties" ma:root="true" ma:fieldsID="bc1d1dd62dfcdbdab7bb6ecc92da0286" ns1:_="" ns2:_="" ns3:_="">
    <xsd:import namespace="http://schemas.microsoft.com/sharepoint/v3"/>
    <xsd:import namespace="20017f5f-d659-4968-8f45-09f2abe45d73"/>
    <xsd:import namespace="64facb60-4212-4ef3-9310-41f075a21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17f5f-d659-4968-8f45-09f2abe45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8a8d1e8-f04d-4073-bbff-c1f130f50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cb60-4212-4ef3-9310-41f075a213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675a6d-968a-4cb7-b07a-6a122d41f6f8}" ma:internalName="TaxCatchAll" ma:showField="CatchAllData" ma:web="64facb60-4212-4ef3-9310-41f075a21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017f5f-d659-4968-8f45-09f2abe45d7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4facb60-4212-4ef3-9310-41f075a21363" xsi:nil="true"/>
  </documentManagement>
</p:properties>
</file>

<file path=customXml/itemProps1.xml><?xml version="1.0" encoding="utf-8"?>
<ds:datastoreItem xmlns:ds="http://schemas.openxmlformats.org/officeDocument/2006/customXml" ds:itemID="{88393F84-0C0D-42E7-ABB0-185FC490C7FB}"/>
</file>

<file path=customXml/itemProps2.xml><?xml version="1.0" encoding="utf-8"?>
<ds:datastoreItem xmlns:ds="http://schemas.openxmlformats.org/officeDocument/2006/customXml" ds:itemID="{B3D413FD-8291-4E30-A3DF-3EA28F782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AE94E-75B6-4AE3-AF8C-DF8F491ED5C6}">
  <ds:schemaRefs>
    <ds:schemaRef ds:uri="http://schemas.microsoft.com/office/2006/metadata/properties"/>
    <ds:schemaRef ds:uri="http://schemas.microsoft.com/office/infopath/2007/PartnerControls"/>
    <ds:schemaRef ds:uri="20017f5f-d659-4968-8f45-09f2abe45d73"/>
    <ds:schemaRef ds:uri="http://schemas.microsoft.com/sharepoint/v3"/>
    <ds:schemaRef ds:uri="64facb60-4212-4ef3-9310-41f075a213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2382</Characters>
  <Application>Microsoft Office Word</Application>
  <DocSecurity>0</DocSecurity>
  <Lines>99</Lines>
  <Paragraphs>57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Innamaa Satu</dc:creator>
  <cp:keywords/>
  <dc:description/>
  <cp:lastModifiedBy>Gamarra Scavone, M.G. (Gabriela)</cp:lastModifiedBy>
  <cp:revision>8</cp:revision>
  <dcterms:created xsi:type="dcterms:W3CDTF">2026-05-06T09:57:00Z</dcterms:created>
  <dcterms:modified xsi:type="dcterms:W3CDTF">2026-05-22T13:05:00Z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0x010100F385E03FA15EAF49927269F621E24E76</vt:lpwstr>
  </property>
  <property fmtid="{D5CDD505-2E9C-101B-9397-08002B2CF9AE}" pid="3" name="MediaServiceImageTags">
    <vt:lpwstr/>
  </property>
</Properties>
</file>